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  <w:bookmarkStart w:id="0" w:name="_GoBack"/>
      <w:bookmarkEnd w:id="0"/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5A54A7" w:rsidRPr="005A54A7">
        <w:rPr>
          <w:rFonts w:cs="ＭＳ 明朝" w:hint="eastAsia"/>
          <w:sz w:val="28"/>
          <w:szCs w:val="28"/>
        </w:rPr>
        <w:t>令和２年度根岸住宅地区周辺交通量調査委託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5A54A7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B835-EE6A-4166-876C-F78FEAE6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269</Characters>
  <Application>Microsoft Office Word</Application>
  <DocSecurity>0</DocSecurity>
  <Lines>2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2020-01-24T05:15:00Z</dcterms:created>
  <dcterms:modified xsi:type="dcterms:W3CDTF">2020-01-24T05:16:00Z</dcterms:modified>
</cp:coreProperties>
</file>